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81995-П/2011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ноября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Вяткина Михаила Ивановича на нарушение его конституционных прав пунктом 1 статьи 311 и частью 1 статьи 312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В.Г.Ярославцева, рассмотрев по требованию гражданина М.И.Вяткина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 было прекращено в связи с неподведомственностью дела арбитражному суду производство по делу по иску юридического лица к гражданину М.И.Вяткину о взыскании неосновательно полученных дивидендов. Впоследствии данное определение было отменено по вновь открывшимся обстоятельствам в связи с тем, что оценка судом характера спора не соответствовала толкованию норм права, сформулированному в принятом позднее постановлении Президиума Высшего Арбитражного Суда Российской Федерации по аналогичному делу. 2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Вяткина Михаила Ивановича, поскольку по предмету обращения Конституционным Судом Российской Федерации ранее было вынесено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