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Вафиной Людмилы Борисовны на нарушение ее конституционных прав пунктом 2 статьи 17, подпунктом 6 пункта 1 статьи 188 Гражданского кодекса Российской Федерации, постановлением Верховного Совета Российской Федерации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собственность», а также распоряжением мэра Санкт-Петербурга «О совершенствовании порядка продажи отдельных квартир и изолированных жилых помещений в коммунальных квартирах государственного жилищного фонда Санкт-Петербурга»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Л.Б.Вафиной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Смольнинского районного суда города Санкт-Петербурга от 8 декабря 1998 года, оставленным без изменений судом кассационной инстанции, гражданке Л.Б.Вафиной было отказано в удовлетворении исковых требований о признании сделок по изъятию жилой площади недействительными и восстановлении прав на жилую площадь. Как указал суд, права и обязанности сына заявительницы как единственного нанимателя спорной комнаты в коммунальной квартире прекратились после его смерти, и данная комната была продана на условиях действующего законодательства другому лицу, проживающему в этой же квартире.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Л.Б.Вафиной материалы, не находит оснований для принятия ее жалобы к рассмотрению. 3 Пункт 2 статьи 17 ГК Российской Федерации, закрепляющий, что правоспособность гражданина возникает в момент его рождения и прекращается смертью, сам по себе конституционные права заявительницы, включая право наследования, не нарушает. Как следует из жалобы, заявительница, формально оспаривая конституционность этой нормы, фактически настаивает на применении в ее деле пункта 8 постановления Пленума Верховного Суда Российской Федерации от 24 августа 1993 года № 8 «О некоторых вопросах применения судами Закона Российской Федерации «О приватизации жилищного фонда в Российской Федерации», согласно которому спорное жилое помещение может быть включено в состав наследственной массы и в случае, если наследодатель, подавший при жизни необходимые для приватизации документы, умер до оформления договора на передачу жилого помещения в его собственность или до государственной регистрации права собственности. Однако рассмотрение подобных вопросов, как непосредственно связанных с оценкой фактических обстоятельств дела и выбором способа защиты прав, относится к полномочиям судов общей юрисдикции и не входит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Приложенными к жалобе копиями судебных решений не подтверждается применение в деле заявительницы иных оспариваемых ею положений и правовых актов. Ответы же прокуратуры и начальника аппарата вице-губернатора Санкт-Петербурга, составленные после вынесения судебных решений, носят информационный характер и не могут рассматриваться в качестве правоприменительных документов, в связи с чем жалоба в этой части не отвечает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Вафиной Людмилы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