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142853-П/2013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«МобиПлат» на нарушение конституционных прав и свобод абзацем первым пункта 4 статьи 421 и пунктом 1 статьи 1005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ООО «МобиПлат»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постановлением суда апелляционной инстанции, был удовлетворен иск организации – оператора связи к ООО «МобиПлат» о взыскании части суммы полученного ответчиком вознаграждения по агентским договорам как неосновательного обогащения; в удовлетворении исковых требований ООО «МобиПлат» к данной организации о признании отдельных условий агентских договоров недействительными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абзац первый пункта 4 статьи 421 ГК Российской Федерации уточняет содержание принципа свободы договора, который относится к основным началам гражданского законодательства, и направлен на обеспечение свободы договора и баланса интересов его сторон. Данное законоположение, равно как и нормы пункта 1 статьи 1005 названного 3 Кодекса, определяющие понятие агентского договора, не содержат какой- либо неопределенности и не могут расцениваться как нарушающие конституционные права заявителя в указанном им аспекте. Проверка же законности и обоснованности вынесенных по конкретному делу судебных постановлений, в том числе с точки зрения правильности применения арбитражными судами правовых норм с учетом фактических обстоятельств,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«МобиПлат»,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