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Боровских Виктора Владимировича о разъяснении Определения Конституционного Суда Российской Федерации от 24 февраля 2011 года № 153-О-О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гражданина В.В.Боровских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какого-либо дополнительного истолкования решения по существу. Как следует из статьи 125 (часть 4) Конституции Российской Федерации, пункта 3 части первой статьи 3 и статей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Боровских Виктора Владимировича о разъяснении Определения Конституционного Суда Российской Федерации от 24 февраля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