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147497-П/2013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Юровского Кирилла Борисовича на нарушение его конституционных прав пунктом 3 статьи 57 Федерального закона «Об ипотеке (залоге недвижимости)» и частью 4 статьи 19 Закона города Москвы «О правовых актах города Москвы»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вопрос о возможности принятия жалобы гражданина К.Б.Юровского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апелляционного суда, оставленным без изменения постановлением суда кассационной инстанции, было отменено решение суда первой инстанции и отказано в удовлетворении заявленных обществом с ограниченной ответственностью требований о признании незаконными и отмене решения и предписания Управления Федеральной 2 антимонопольной службы по городу Москве о нарушении процедуры торгов и порядка заключения договоров.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К.Б.Юровским материалы, не находит оснований для принятия его жалобы к рассмотрению. В соответствии с пунктом 3 статьи 57 Федерального закона «Об ипотеке (залоге недвижимости)» организатор публичных торгов извещает о предстоящих публичных торгах не позднее чем за 10 дней, но не ранее чем за 30 дней до их проведения в периодическом издании, являющемся официальным информационным органом органа исполнительной власти субъекта Российской Федерации, по месту нахождения недвижимого имущества, а также направляет соответствующую информацию для размещения в сети «Интернет» в порядке, установленном Правительством Российской Федерации; в извещении указываются дата, время и место проведения публичных торгов, характер продаваемого имущества и его начальная продажная цена. Часть 4 статьи 19 Закона города Москвы «О правовых актах города Москвы» устанавливает, что официальным опубликованием правовых актов 3 Мэра Москвы, Правительства Москвы, заместителя Мэра Москвы в Правительстве Москвы – руководителя Аппарата Мэра и Правительства Москвы, органов исполнительной власти города Москвы считается первая публикация полного текста указанных правовых актов в официальных изданиях Мэра и Правительства Москвы – журнале «Вестник Мэра и Правительства Москвы» или газете «Тверская, 13» (электронной версии данных изданий) либо первое размещение (опубликование) полного текста указанных правовых актов на официальном сайте Правительства Москвы в информационно-телекоммуникационной сети «Интернет». Данные положения, определяющие правила размещения информации о предстоящих публичных торгах, а также перечень официальных изданий Мэра и Правительства Москвы направлены, в частности, на своевременное и достоверное информирование неопределенного круга лиц о предстоящих публичных торгах и не могут рассматриваться как нарушающие конституционные права заявителя, перечисленные в жалобе.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Юровского Кирилла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