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187540-П/2015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Волосунина Андрея Михайловича на нарушение его конституционных прав пунктом 2 части 1 и пунктом 3 части 11 статьи 29.9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Н.В.Селезнева, О.С.Хохряковой, В.Г.Ярославцева, рассмотрев по требованию гражданина А.М.Волосунина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А.М.Волосуниным материалы, не находит оснований для принятия его жалобы к рассмотрению. В соответствии со статьями 96 и 97 Федерального конституционного закона «О Конституционном Суде Российской Федерации» граждане вправе 3 оспорить конституционность тех законоположений, затрагивающих их конституционные права, которые применялись в их деле судом. Между тем представленные материалы не свидетельствуют о том, что в деле заявителя применялись пункт 2 части 1 и пункт 3 части 11 статьи 29.9 КоАП Российской Федерации. Следовательно, его жалоба не отвечает критерию допустимости. Кроме того, Кодекс Российской Федерации об административных правонарушениях не регулирует отношения, связанные с привлечением к уголовной ответственности должностных лиц за преступления против государственной власти и интересов государственной службы.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Волосунина Андрея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