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136251-П/2013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Черепанова Александра Александровича на нарушение его конституционных прав статьей 29.8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А.А.Черепанова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А.А.Черепановым материалы, не находит оснований для принятия его жалобы к рассмотрению. Положения Кодекса Российской Федерации об административных правонарушениях, регулирующие порядок составления протокола о рассмотрении дела об административном правонарушении, не предусматривают подачу на него замечаний (статья 29.8). Вместе с тем лицо, в отношении которого ведется производство по делу об административном правонарушении, при обжаловании постановления (решения) по делу об административном правонарушении (статьи 30.1 и 30.12) не лишено возможности в самой жалобе привести замечания и возражения на протокол о рассмотрении дела об административном правонарушении непосредственно. Именно из этого исходит Верховный Суд Российской Федерации, давая разъяснения по вопросам судебной практики (Обзор законодательства и судебной практики Верховного Суда Российской Федерации за четвертый квартал 2006 года, утвержденный постановлением Президиума Верховного Суда Российской Федерации от 7 марта 2007 года). Таким образом, статья 29.8 КоАП Российской Федерации, 3 действующая в системе правового регулирования и оцениваемая с учетом сложившейся правоприменительной практики, не может рассматриваться как нарушающая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Черепанова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