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149910-П/2013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Гаршина Владимира Николаевича на нарушение его конституционных прав пунктом 2 статьи 4 Федерального закона «О несостоятельности (банкротстве)» и судебными решениями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В.Н.Гаршина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оставленным без изменения постановлением суда апелляционной инстанции, гражданину В.Н.Гаршину, являющемуся арбитражным управляющим, было отказано в принятии к рассмотрению заявления о признании несостоятельным (банкротом) общества с ограниченной ответственностью.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В.Н.Гаршиным материалы, не находит оснований для принятия его жалобы к рассмотрению. Согласно пункту 2 статьи 4 Федерального закона «О несостоятельности (банкротстве)» для определения наличия признаков банкротства должника учитываются: 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выходных пособий и оплате труда лиц, работающих по трудовому договору,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 размер обязательных платежей без учета установленных законодательством Российской Федерации штрафов (пеней) и иных финансовых санкций; 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3 обязанности по уплате обязательных платежей, не учитываются при определении наличия признаков банкротства должника. Как указал Конституционный Суд Российской Федерации в Определении от 1 ноября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Гаршина Владимира Николаевича,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