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168650-П/2014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Дениса Валентиновича на нарушение его конституционных прав подпунктом «в» пункта 1 части второй статьи 151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Д.В.Литвинова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Оспариваемое заявителем законоположение однозначно устанавливает подсудность следователям Следственного комитета Российской Федерации уголовных дел в отношении преступлений сотрудников органов внутренних дел, совершенных в связи с исполнением ими служебных обязанностей, неопределенности не содержит, а потому не может рассматриваться как нарушающее его конституционные права в обозначенном в жалобе аспекте. Установление же того, было ли инкриминируемое Д.В.Литвинову преступление совершено в связи с исполнением им служебных обязанностей, на чем он фактически настаивает в жалобе, требует исследования фактических обстоятельств уголовного дела, что составляет исключительную прерогативу судов общей юрисдикции и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Таким образом, жалоба Д.В.Литвинова,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Дениса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