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72061-П/2011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Лифшица Александра Лазаревича на нарушение его конституционных прав частью 2 статьи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А.Л.Лифшица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А.Л.Лифшицем материалы, не находит оснований для принятия его жалобы к рассмотрению. 3 В соответствии со статьей 126 Конституции Российской Федерации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по административным делам. Согласно статье 128 (часть 3) Конституции Российской Федерации полномочия, порядок образования и деятельности Конституционного Суда Российской Федерации, Верховного Суда Российской Федерации, Высшего Арбитражного Суда Российской Федерации и иных федеральных судов устанавливаются федеральным конституционным законом. В силу статьи 47 (часть 1) Конституции Российской Федерации подсудность дел должна определяться законом. В соответствии с частью 2 статьи 9 Федерального конституционного закона от 7 февраля 2011 года № 1-ФКЗ «О судах общей юрисдикции в Российской Федерации» Верховный Суд Российской Федерации в пределах своей компетенции рассматривает дела в качестве суда первой, апелляционной, кассационной, надзорной инстанций и по новым или вновь открывшимся обстоятельствам в порядке, предусмотренном федеральными законами. Таким образом, Конституция Российской Федерации и Федеральный конституционный закон «О судах общей юрисдикции в Российской Федерации» не исключают возможности рассмотрения единолично судьей, председателем или заместителем председателя соответствующего суда надзорных жалоб (протестов) на постановления судей по делам об административных правонарушениях и решения по результатам рассмотрения жалоб, протестов на указанные постановления при условии, что компетенция указанных должностных лиц по рассмотрению данных жалоб (протестов) определена в федеральном законе. Следовательно, указание в части 2 статьи 30.13 КоАП Российской Федерации на то, что пересмотр вступивших в законную силу постановлений по делам об административных правонарушениях и решений по результатам рассмотрения жалоб, протестов относится в том числе к компетенции 4 Председателя Верховного Суда Российской Федерации, его заместителей либо судьи Верховного Суда Российской Федерации, конституционные права граждан не затрагивает. Что касается процедуры рассмотрения надзорных жалоб и протестов (в том числе в части проведения судебных заседаний), то она не входит в предмет регулирования оспариваемого законоположения, которое определяет исключительно компетенцию должностных лиц органов судебной власти по рассмотрению данной категории дел. Таким образом, оспариваемая норма не может рассматриваться как нарушающая конституционные права заявителя в указанных им аспектах.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Лифшица Александра Лазаревича,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