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100231-П/2012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Плотниковой Кристины Георгиевны на нарушение ее конституционных прав частью первой статьи 357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К.Г.Плотниковой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К.Г.Плотниковой материалы, не находит оснований для принятия ее жалобы к рассмотрению. Статья 357 УПК Российской Федерации предусматривает, что в случае пропуска срока обжалования лица, имеющие право подать жалобу или представление, могут ходатайствовать перед судом, постановившим приговор или вынесшим иное обжалуемое решение, о восстановлении пропущенного срока; в качестве основания для такого восстановления выступает уважительная причина пропуска срока (часть первая), в том числе получение стороной копии обжалуемого судебного решения по истечении пяти суток со дня его провозглашения (часть вторая); постановление судьи об отказе в восстановлении пропущенного срока может быть обжаловано в вышестоящий суд (часть третья). Тем самым данная статья обеспечивает возможность соответствующим лицам ходатайствовать перед судом о восстановлении пропущенного по уважительной причине срока обжалования (Определение Конституционного Суда Российской Федерации от 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Плотниковой Кристины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