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119270-П/2012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Жарких Ирины Александровны и Рукавишниковой Екатерины Александровны на нарушение их конституционных прав статьей 1156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И.А.Жарких и Е.А.Рукавишниковой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1156 ГК Российской Федерации о переходе права на принятие наследства (наследственная трансмиссия) направлена на защиту прав граждан при наследовании и в качестве таковой служит реализации предписаний статей 17 (часть 3), 35, 46 и 55 (часть 3) Конституции Российской Федерации, а потому сама по себе не может рассматриваться как нарушающая конституционные права заявительниц. Доводы, приведенные заявительницами в обоснование своей позиции, свидетельствуют о том, что нарушение своих конституционных прав они связывают с вынесенными по их делу судебными постановлениями, с которыми они выражают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Жарких Ирины Александровны и Рукавишниковой Екатерины Александровны, 3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