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145891-П/2013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Шамаева Романа Викторовича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Р.В.Шамаева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6 части второй статьи 231 УПК Российской Федерации, возлагающий на судью суда первой инстанции обязанность разрешить в постановлении о назначении судебного заседания без проведения предварительного слушания помимо прочего и вопрос о мере пресечения, за 3 исключением случаев избрания меры пресечения в виде залога, домашнего ареста или заключения под стражу, либо о продлении срока домашнего ареста или срока содержания под стражей, действует в редакции Федерального закона от 5 июня 2012 года № 53-ФЗ «О внесении изменений в Уголовно-процессуальный кодекс Российской Федерации», а потому не может быть предметом рассмотрения Конституционного Суда Российской Федерации по жалобе Р.В.Шамаева, судебное заседание по уголовному делу которого назначалось до вступления данного Федерального закона в силу. Утратили свою силу и оспариваемые заявителем статьи 407 и 408 УПК Российской Федерации – с 1 января 2013 года на основании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Федерации». Кроме того, в нарушение требований статей 96 и 97 Федерального конституционного закона «О Конституционном Суде Российской Федерации» Р.В.Шамаевым не представлены документы, подтверждающие применение судом в его деле положений статей 61, 63, 195 и 198 УПК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Шамаева Романа Викторовича,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