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122188-П/2012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Кочешкова Вадима Юрьевича на нарушение его конституционных прав положениями статьи 219 Гражданского кодекса Российской Федерации, пунктами 1 и 2 статьи 34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В.Ю.Кочешкова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Федерации, законодательное закрепление необходимости государственной регистрации права собственности на недвижимое имущество является признанием со стороны государства публично-правового интереса в установлении принадлежности недвижимого имущества конкретному лицу, чем обеспечивается защита прав других лиц, стабильность гражданского оборота и предсказуемость его развития (Постановление от 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Кочешкова Вадима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