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104280-П/2012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Царькова Виталия Евгеньевича на нарушение его конституционных прав положениями статьи 29 и части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В.Е.Царькова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В.Е.Царьковым материалы, не находит оснований для принятия его жалобы к рассмотрению. Часть четвертая статьи 406 УПК Российской Федерации лишь закрепляет, что председатель верховного суда республики, краевого или областного суда, суда города федерального значения, суда автономной области и суда автономного округа,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Царькова Виталия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