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Маленкина Сергея Сергеевича на нарушение его конституционных прав пунктом 12 части первой статьи 75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по требованию гражданина С.С.Маленкина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С.С.Маленкиным материалы, не находит оснований для принятия его жалобы к рассмотрению. Как указывал Конституционный Суд Российской Федерации, положения частей первой и третьей статьи 79 Федерального конституционного закона «О Конституционном Суде Российской Федерации», предусматривающие вступление решения Конституционного Суда Российской Федерации в силу немедленно после провозглашения, сами по себе не определяют момент наступления правовых последствий признания акта неконституционным, в том числе тот момент, с которого подлежит восстановлению нарушенное неконституционной нормой право. В зависимости от характера регулируемых правоотношений это может по- разному решаться законодателем, Конституционным Судом Российской Федерации, либо – при отсутствии специального регулирования или решения Конституционного Суда Российской Федерации – другими судами на основе непосредственного применения конституционных норм, что вытекает из части четвертой статьи 79 Федерального конституционного закона «О Конституционном Суде Российской Федерации». Исходя из цели обеспечения баланса конституционно-значимых интересов и недопустимости нарушения прав и свобод других лиц при осуществлении прав и свобод человека и гражданина (статья 17, часть 3, Конституции Российской Федерации),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Маленкина Сергея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