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127856-П/2013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марта 2013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Фаткуллова Вячеслава Александровича на нарушение его конституционных прав частью второй статьи 34 и частью второй статьи 35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В.Г.Ярославцева, рассмотрев вопрос о возможности принятия жалобы гражданина В.А.Фаткуллова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силу требований Конституции Российской Федерации, в том числе ее статей 46 и 47 (часть 1), подсудность дел определяется законом. В таком законе должны быть закреплены критерии, которые в нормативной форме предопределяли бы, в каком суде подлежит рассмотрению то или иное уголовное дело, что позволило бы суду (судье), сторонам и другим участникам процесса избежать неопределенности в этом вопросе, которую в противном случае приходилось бы устранять посредством правоприменительного решения (Постановление Конституционного Суда Российской Федерации от 16 марта 1998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Фаткуллова Вячеслава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