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88522-П/2012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Громового Дмитрия Александровича на нарушение его конституционных прав рядом норм Уголовно-процессуального кодекса Российской Федерации, Гражданского процессуального кодекса Российской Федерации и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Д.А.Громового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 связывает нарушение своих прав не с содержанием оспариваемых норм, а с состоявшимися в его делах правоприменительными решениями и, прямо выражая несогласие с ними, по сути, предлагает Конституционному Суду Российской Федерации дать им оценку. Однако проверка законности и обоснованности таких решений, равно как установление и исследование фактических обстоятельств во всех случаях, когда это входит в компетенцию других судов или иных органов, не относятся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применение в деле заявителя положений статьи 133 УПК Российской Федерации, а также оспариваемых норм Гражданского процессуального кодекса Российской Федерации и Уголовно- исполнительного кодекса Российской Федерации не подтверждено, в 4 нарушение требований части второй статьи 96 Федерального конституционного закона «О Конституционном Суде Российской Федерации», копиями судебных решений.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Громового Дмитрия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