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6554-П/2009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Плотниковой Кристины Георгиевны на нарушение ее конституционных прав частью первой статьи 46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К.Г.Плотниковой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198 УПК Российской Федерации при назначении и производстве судебной экспертизы право знакомиться с постановлением о назначении судебной экспертизы, заявлять отвод эксперту, а также ходатайствовать о производстве судебной экспертизы в другом либо в конкретном экспертном учреждении, о привлечении в качестве экспертов конкретных лиц, о внесении в постановление о назначении судебной экспертизы дополнительных вопросов эксперту принадлежит только подозреваемому, обвиняемому или защитнику. В свою очередь, статья 195 УПК Российской Федерации прямо закрепляет обязанность следователя, назначившего судебную экспертизу по уголовному делу, обеспечить возможность реализации названных прав подозреваемым, обвиняемым, защитником. 3 Вместе с тем Конституционный Суд Российской Федерации неоднократно указывал в своих решениях, что предоставление лицу гарантируемых Конституцией Российской Федерации прав и свобод в уголовном судопроизводстве должно быть обусловлено фактическим положением этого лица как нуждающегося в обеспечении соответствующих прав (постановления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Плотниковой Кристины Георгиевны,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