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120666-П/2012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Гребнева Николая Михайловича на нарушение его конституционных прав положением пункта 2 статьи 1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Н.М.Гребнева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Н.М.Гребневым материалы, не находит оснований для принятия его жалобы к рассмотрению. В соответствии с абзацем вторым пункта 1 статьи 1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 области. Оспариваемое заявителем положение пункта 2 статьи 1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3 потребления (распития) алкогольной продукции» распространяет действие данного Федерального закона на отношения, участниками которых являются юридические лица (организации), осуществляющие производство и оборот этилового спирта, алкогольной и спиртосодержащей продукции, независимо от их организационно-правовых форм и форм собственности. Тем самым оно направлено на создание равных условий для всех юридических лиц, участвующих в регулируемых отношениях, и, соответственно, на реализацию принципа равенства, гарантированного статьей 19 Конституции Российской Федерации. Следовательно, оспариваемое законоположение не может рассматриваться как нарушающее конституционные права заявителя, перечисленные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Гребнева Николая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