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110327-П/2012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Белькова Олега Викторовича на нарушение его конституционных прав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О.В.Белькова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О.В.Бельковым материалы, не находит оснований для принятия его жалобы к рассмотрению. Оспариваемая заявителем часть третья статьи 217 УПК Российской Федерации прямо устанавливает, что обвиняемый и его защитник не могут ограничиваться во времени, необходимом им для ознакомления с материалами уголовного дела. Определенный же срок для ознакомления с материалами уголовного дела устанавливается на основании судебного решения, принимаемого в порядке, установленном статьей 125 этого Кодекса,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материалами.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уголовного дела в установленный судом срок без уважительных причин, о чем следователь выносит соответствующее постановление и делает отметку в протоколе ознакомления обвиняемого и его защитника с материалами уголовного дела. Таким образом, оспариваемое законоположение не может рассматриваться как нарушающее права заявителя. Разрешение же вопроса о том, имело ли место затягивание О.В.Бельковым и его защитником времени ознакомления с материалами уголовного дела, носило ли оно явный характер, были ли у заявителя уважительные причины для неознакомления с такими материалами, предполагает исследование фактических обстоятельств дела и к компетенции Конституционного Суда Российской Федерации, как она закреплена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Белькова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