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16156-П/2007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января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Чередниченко Александра Михайловича на нарушение его конституционных прав пунктом 1 статьи 1079 Гражданского кодекса Российской Федерации и пунктом 10.1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В.Г.Стрекозова, О.С.Хохряковой, Б.С.Эбзеева, В.Г.Ярославцева, рассмотрев по требованию гражданина А.М.Чередниченко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Миллеровского городского суда Ростовской области от 3 декабря 2002 года, оставленным без изменения определением судебной коллегии по гражданским делам Ростовского областного суда от 19 марта 2003 года, гражданину А.М.Чередниченко отказано в удовлетворении иска к ОАО «Транссельхозтехника» о возмещении имущественного ущерба и компенсации морального вреда, причиненных в результате дорожно- 2 транспортного происшествия. Как установлено судом, А.М.Чередниченко, управляя автомобилем, допустил нарушение пунктов 10.1 и 10.3 Правил дорожного движения Российской Федерации и совершил наезд на стоящий автомобиль ответчика, причинив вред своему здоровью и автомобилю. Отказывая в удовлетворении требований заявителя, суд указал, что согласно пункту 18 постановления Пленума Верховного Суда Российской Федерации от 28 апреля 1994 года № 3 «О судебной практике по делам о возмещении вреда, причиненного повреждением здоровья» ответственность за вред по правилам статьи 454 ГК РСФСР (статьи 1079 ГК Российской Федерации) наступает только в том случае, если вред возник в результате действия источника повышенной опасности (например, при движении автомобиля), однако, поскольку из материалов дела следует, что автомобиль ответчика стоял, в данном случае его нельзя признать источником повышенной опасности.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А.М.Чередниченко материалы, не находит оснований для принятия его жалобы к рассмотрению. Пункт 1 статьи 1079 ГК Российской Федерации устанавливает,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Разрешение вопроса о применении данного положения в конкретном деле, как связанного с выяснением фактических обстоятельств по делу и оценкой представленных доказательств, относится к компетенции судов общей юрисдикции. Выражая несогласие с выводами судов по его делу, в том числе квалификацией недвижущегося транспортного средства как не являющегося источником повышенной опасности, оценкой его действий как водителя транспортного средства, превысившего безопасную для данных дорожных условий скорость, заявитель, по существу, ставит вопрос о проверке законности и обоснованности вынесенных по его делу судебных решений. Между тем разрешение данного вопроса не относится к полномочиям Конституционного Суда Российской Федерации, установленным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1 части первой статьи 43 и частью первой статьи 79 Федерального 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Чередниченко Александра Михайловича,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