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91404-П/2012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Губанова Александра Владимировича на нарушение его конституционных прав Федеральным законом «О техническом регулировании», а также частью 4 статьи 12.15 и частью 1 статьи 29.10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А.В.Губанова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А.В.Губановым материалы, не находит оснований для принятия его жалобы к рассмотрению. Оспаривая конституционность части 4 статьи 12.15 и части 1 статьи 29.10 КоАП Российской Федерации, заявитель указывает, что при рассмотрении его дела об административном правонарушении были грубо нарушены нормы Конституции Российской Федерации и действующего законодательства, судом не были учтены обстоятельства, имеющие значение для правильного разрешения дела, в постановлении по делу об административном правонарушении неправильно указано место рождения лица, в отношении которого ведется производство по делу. Кроме того, заявитель полагает, что схема административного правонарушения, составленная сотрудником органов ГИБДД, не соответствует Федеральному закону «О техническом регулировании». 3 Таким образом, формально оспаривая конституционность положений Кодекса Российской Федерации об административных правонарушениях и Федерального закона «О техническом регулировании», заявитель фактически выражает несогласие с принятыми по его делу постановлениями. Между тем проверка законности и обоснованности действий и решений государственных органов и их должностных лиц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Губанова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