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140186-П/2013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Кузьминой Светланы Юрьевны на нарушение ее конституционных прав подпунктом 3 пункта 1 статьи 8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С.Ю.Кузьминой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арбитражным судом кассационной инстанции, отменено решение арбитражного суда первой инстанции в части удовлетворения исковых требований общества с ограниченной ответственностью к уполномоченному государственному органу о взыскании сумм неосновательного обогащения, и в этой части вынесено новое решение 2 – об отказе в удовлетворении требований в связи с пропуском срока исковой давности.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нарушение требований Федерального конституционного закона «О Конституционном Суде Российской Федерации» заявительницей не подтверждено документально применение подпункта 3 пункта 1 статьи 8 и пункта 1 статьи 200 ГК Российской Федерации в ее конкретном деле, а потому ее жалоба не может быть признана допустимой в силу статей 96 и 97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Кузьминой Светланы Юрьевны,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