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162582-П/2014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Лаврентьева Николая Петровича на нарушение его конституционных прав статьями 363, 3801, 381 и 387 Гражданского процессуального кодекса Российской Федерации, статьей 4013 Уголовно-процессуального кодекса Российской Федерации, статьей 97 Федерального конституционного закона «О Конституционном Суде Российской Федерации», постановлением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Федерации», приказом Следственного комитета Российской Федерации «Об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Федерации», а также судебными постановлениями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Н.П.Лаврентьева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Н.П.Лаврентьев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 по вопросу о неконституционности оспариваемых им нормативных положений, свидетельствуют о том, что нарушение своих конституционных прав он связывает не с их содержанием, а с принятыми по делам с его участием постановлениями судов общей юрисдикции, проверка законности и 3 обоснованности которых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Кроме того, статья 4013 УПК Российской Федерации в оспариваемой заявителем редакции утратила силу с 10 января 2014 года, т.е. до его обращения с настоящей жалобой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Лаврентьева Николая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