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Богомолова Константина Юрьевича на нарушение его конституционных прав частью четвертой статьи 406 и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К.Ю.Богомолова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406 УПК Российской Федерации закрепляет, что председатель верховного суда республики, краевого или областного суда, суда города федерального значения, суда автономной области и суда автономного округа, В соответствии с частью первой статьи 412 УПК Российской Федерации внесение повторных надзорных жалоб в суд надзорной инстанции, ранее оставивший их без удовлетворения, не допускается. По смыслу уголовно-процессуального закона, заявитель, чья надзорная жалоба оставлена без удовлетворения, не лишается возможности принести в ту же надзорную инстанцию новую жалобу по иным основаниям; обнаруженная же судом надзорной инстанции судебная ошибка, повлекшая нарушение прав гражданина, подлежит исправлению, в том числе если жалоба является повторной. Иное вступало бы в противоречие с правовой позицией, изложенной Конституционным Судом Российской Федерации в Постановлении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Богомолова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