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112571-П/2012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Мишиной Риммы Григорьевны на нарушение ее конституционных прав частью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Р.Г.Мишиной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Р.Г.Мишиной материалы, не находит оснований для принятия ее жалобы к рассмотрению. Согласно части пятой статьи 125 УПК Российской Федерации по результатам рассмотрения жалобы на решения и действия (бездействие) дознавателя, следователя, руководителя следственного органа и прокурора, способные причинить ущерб конституционным правам и свободам участников уголовного судопроизводства либо затруднить доступ граждан к правосудию, судья выносит решение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удовлетворения. Из содержания данной нормы прямо следует обязанность соответствующего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но,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Мишиной Риммы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