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59500-П/2011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Акопяна Гамлета Вагинаковича на нарушение его конституционных прав статьями 17 и 386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вопрос о возможности принятия жалобы гражданина Г.В.Акопяна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Верховного Суда Республики Саха (Якутия) от 10 августа 2006 года было отменено определение суда кассационной инстанции по трудовому спору с участием гражданина Г.В.Акопяна и оставлено без изменения решение суда первой инстанции об отказе в удовлетворении всех исковых требований.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Статьями 381–383 ГПК Российской Федерации предусматривается предварительное рассмотрение судьями надзорных жалоб (представлений). На этом обязательном этапе надзорного производства, представляющем собой процедуру допуска (фильтрации) надзорных жалоб (представлений), определяются правовые основания для дальнейшего движения дела (передачи надзорной жалобы или представления с делом для рассмотрения в судебном заседании суда надзорной инстанции) исходя из доводов, изложенных в жалобе (представлении), и содержания обжалуемых судебных постановлений (материалов истребованного дела). Поскольку на данном этапе производства в суде надзорной инстанции решается лишь вопрос о возможности передачи надзорной жалобы, представления прокурора для рассмотрения в судебном заседании суда надзорной инстанции, участие судьи, который изучал надзорную жалобу, представление прокурора на основании предписаний статьи 3801 ГПК 3 Российской Федерации, в заседании суда надзорной инстанции, рассматривающего данную надзорную жалобу, представление прокурора, не может быть признано нарушающим принципы независимости и беспристрастности судей при осуществлении правосудия. Кроме того, соблюдение данных принципов в суде надзорной инстанции обеспечивается наличием у лица, участвующего в деле, права заявить судье отвод в судебном заседании суда надзорной инстанции на основании пункта 3 части первой статьи 16 ГПК Российской Федерации, если имеются основания полагать, что он лично, прямо или косвенно, заинтересован в исходе гражданского дела. Такое право предусмотрено процессуальным законом (статья 19 ГПК Российской Федерации). Таким образом, конституционные права заявителя взаимосвязанными положениями статей 17 и 386 ГПК Российской Федерации нарушены не были. Проверка же законности и обоснованности вынесенного по делу с его участием постановления суда надзорной инстанции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Акопяна Гамлета Вагинаковича,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