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89426-П/2012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Ветрова Владислава Николаевича на нарушение его конституционных прав частью четвертой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В.Н.Ветрова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В.Н.Ветровым материалы, не находит оснований для принятия его жалобы к рассмотрению. Согласно статьям 133 и 134 УПК Российской Федерации применение реабилитации в конкретном деле является результатом принятия в рамках уголовного судопроизводства решения, снимающего с лица выдвинутые против него обвинения, – оправдательного приговора, постановления (определения) о прекращении уголовного дела или уголовного преследования в связи с отсутствием события или состава преступления, в связи с непричастностью лица к совершенному преступлению и по некоторым другим основаниям. Правила названных статей, однако, не распространяются на случаи прекращения уголовного преследования по так называемым нереабилитирующим основаниям, в частности в связи с истечением сроков давности (часть четвертая статьи 133 УПК Российской Федерации). Устанавливая такого рода правила, статья 133 УПК Российской Федерации реализует положение статьи 53 Конституции Российской Федерации, в силу которого право на возмещение государством вреда гарантируется лишь в случаях, когда вред причинен незаконными действиями (или бездействием) органов государственной власти или их должностных лиц (Постановление Конституционного Суда Российской Федерации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Ветрова Владислава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