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125104-П/2013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Романова Евгения Петровича на нарушение его конституционных прав статьей 37 Семейного кодекса Российской Федерации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Е.П.Романова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37 Семейного кодекса Российской Федерации направлена на обеспечение баланса имущественных интересов супругов в случае увеличения стоимости имущества каждого из супругов за счет общего имущества супругов или имущества каждого из супругов либо труда одного из супругов и сама по себе не может рассматриваться как нарушающая конституционные права заявителя, перечисленные в жалобе. Часть вторая статьи 61 ГПК Российской Федерации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(определения Конституционного Суда Российской Федерации от 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Романова Евгения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