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91148-П/2012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«Компания ММК» на нарушение конституционных прав и свобод статьей 1 и пунктом 1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ООО «Компания ММК»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было отказано в удовлетворении исковых требований ООО «Компания ММК» о признании преимущественного права на выкуп нежилого помещения и обязании направить предложение о заключении договора купли-продажи.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регулирует отношения, возникающие в связи с отчуждением из государственной собственности субъектов Российской Федерации или из муниципальной собственности недвижимого имущества, арендуемого субъектами малого и среднего предпринимательства, в том числе особенности участия указанных субъектов в приватизации арендуемого имущества (статья 1); в качестве дополнительной гарантии, предоставляемой субъектам малого и среднего предпринимательства, данный Федеральный закон предусматривает 3 преимущественное право на приобретение арендуемого имущества по цене, равной его рыночной стоимости и определенной независимым оценщиком; при этом одним из условий реализации субъектами малого и среднего предпринимательства такого преимущественного права является нахождение арендуемого имущества в их временном владении и (или) временном пользовании непрерывно в течение двух и более лет до дня вступления в силу данного Федерального закона в соответствии с договором или договорами аренды такого имущества (пункт 1 статьи 3).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«Компания ММК»,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