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86410-П/2011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«УГМК-Холдинг» на нарушение конституционных прав и свобод частью 1 статьи 26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ООО «УГМК-Холдинг»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26 Федерального закона «О защите конкуренции», гарантируя защиту информации, составляющей коммерческую, служебную, иную охраняемую законом тайну и полученной антимонопольным органом при осуществлении своих полномочий, в системе действующего правового регулирования коммерческой и иной охраняемой законом тайны направлена на реализацию положений статей 8 (часть 1) и 34 Конституции Российской 3 Федерации во взаимосвязи со статьями 17 (часть 3) и 55 (часть 3) и не соотносится с ее статьей 56 (часть 3). Что же касается доводов о противоречии оспариваемой нормы статьям 24 (часть 2), 45 и 46 (части 1 и 2) Конституции Российской Федерации, то, как следует из представленных материалов, Федеральной антимонопольной службой вынесено решение о прекращении в отношении заявителя дела о нарушении антимонопольного законодательства, в том числе на основе указанной информации, в связи с отсутствием такового нарушения. Следовательно, в этой части жалоба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«УГМК-Холдинг»,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