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9133-П/2009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Бабунидзе Бондо Арчиловича на нарушение его конституционных прав частью второй статьи 292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Б.А.Бабунидзе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жалобы Б.А.Бабунидзе к рассмотрению. Необходимой гарантией судебной защиты и справедливого разбирательства дела является равно предоставляемая сторонам реальная возможность довести до сведения суда свою позицию относительно всех аспектов дела, поскольку только при этом условии в судебном заседании реализуется право на судебную защиту, которая, по смыслу статьи 46 (части 1 и 2) Конституции Российской Федерации и статьи 6 Конвенции о защите прав человека и основных свобод, должна быть справедливой, полной и эффективной; данная правовая позиция, изложенная Конституционным Судом Российской Федерации в постановлениях от 10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Бабунидзе Бондо Арчиловича,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