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126037-П/2013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Кривошеева Анатолия Николаевича на нарушение его конституционных прав положениями пунктов 161, 162 и 17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А.Н.Кривошеева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 силу статей 96 и 97 Федерального конституционного закона «О Конституционном Суде Российской Федерации» жалоба гражданина на нарушение его конституционных прав и свобод положением закона признается допустимой, если данным законоположением затрагиваются его конституционные права и свободы и если оно было применено в конкретном деле, рассмотрение которого завершено в суде. Между тем приложенными к жалобе материалами не подтверждается применение оспариваемых заявителем положений в деле с его участием, в связи с чем данная жалоба не может быть признана допустимой.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Кривошеева Анатолия Николаевича,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