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103095-П/2012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Есенова Равиля Касбулатовича на нарушение его конституционных прав подпунктом «б» пункта 25 и абзацем первым пункта 27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Р.К.Есенова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Р.К.Есеновым материалы, не находит оснований для принятия его жалобы к рассмотрению. Положения подпункта «б» пункта 25 и абзаца первого пункта 27 Правил поставки газа для обеспечения коммунально-бытовых нужд граждан, рассматриваемые в системной взаимосвязи с положением подпункта «б» пункта 22 указанных Правил, направлены на соблюдение баланса интересов поставщика газа и абонента при определении объема потребленного абонентом газа и сами по себе не могут рассматриваться как нарушающие конституционные права заявителя, указанные в жалобе. Проверка же законности и обоснованности вынесенных по делу с участием Р.К.Есенова судебных постановлений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Есенова Равиля Касбулатовича,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