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55059-П/2011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января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Рейнера Сергея Ивановича на нарушение его конституционных прав подпунктом 12 пункта 1 и абзацем первым пункта 2 статьи 33335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В.Г.Ярославцева, рассмотрев по требованию гражданина С.И.Рейнера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С.И.Рейнером материалы, не находит оснований для принятия его жалобы к рассмотрению. Конкретизируя конституционный принцип законного установления налогов и сборов (статья 57 Конституции Российской Федерации), федеральный законодатель предусмотрел, что категории налогоплательщиков и плательщиков сборов, которым предоставляются 3 льготы, определяются актами законодательства о налогах и сборах (пункт 2 статьи 17, пункты 1 и 3 статьи 56 Налогового кодекса Российской Федерации). Соответственно, круг лиц, освобожденных от уплаты государственной пошлины, устанавливается главой 253 Налогового кодекса Российской Федерации. Оспариваемые С.И.Рейнером положения главы 253 Налогового кодекса Российской Федерации освобождают от уплаты государственной пошлины участников и инвалидов Великой Отечественной войны. Иным категориям инвалидов этими положениями такая льгота не предоставлена, что, однако, не может рассматриваться как нарушение их конституционных прав, поскольку –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Рейнера Сергея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