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Сианосяна Александра Альбертовича на нарушение его конституционных прав частью второй статьи 252, частью восьмой статьи 302 и пунктом 3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А.А.Сианосяна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статьи 307 УПК Российской Федерации во взаимосвязи с предписаниями статьи 252 того же Кодекса предоставляют суду возможность изменить обвинение лишь в сторону его смягчения, не выходя за рамки, очерченные обвинительным заключением (обвинительным актом) и позицией государственного обвинителя в судебном заседании. Каких-либо предписаний, наделяющих суд полномочием самостоятельно формулировать обвинение, эти нормы не содержат (определения Конституционного Суда Российской Федерации от 22 января 2004 года № 7- О и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Сианосяна Александра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