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120864-П/2012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Николаева Николая Михайловича на нарушение его конституционных прав положениями статьи 179 Гражданского кодекса Российской Федерации, статьи 13 Гражданского процессуального кодекса Российской Федерации, а также статей 14 и 17 Федерального закона «О государственной регистрации прав на недвижимое имущество и сделок с ним»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Н.М.Николаева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179 ГК Российской Федерации о недействительности сделки, совершенной под влиянием обмана, насилия, угрозы, злонамеренного соглашения представителя одной стороны с другой стороной или стечения тяжелых обстоятельств, направлены на защиту прав граждан в указанных случаях и не могут расцениваться как нарушающие конституционные права заявителя, перечисленные в жалобе, равно как и нормы статьи 13 «Обязательность судебных постановлений» ГПК Российской Федерации, направленные на реализацию положения статьи 46 (часть 1) Конституции Российской Федерации. Как указывал Конституционный Суд Российской Федерации, законодательное закрепление необходимости государственной регистрации права собственности на недвижимое имущество является признанием со стороны государства публично-правового интереса в установлении принадлежности недвижимого имущества конкретному лицу, чем обеспечивается защита прав других лиц, стабильность гражданского оборота и предсказуемость его развития (Постановление от 26 мая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Николаева Николая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