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103481-П/2012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Сахабутдинова Рустама Расуловича на нарушение его конституционных прав статьей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Р.Р.Сахабутдинова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237 УПК Российской Федерации по своему конституционно-правовому смыслу в системе норм не исключает правомочие суда по ходатайству стороны или по собственной инициативе возвратить дело прокурору для устранения препятствий к его рассмотрению судом во всех случаях, когда в досудебном производстве были допущены существенные нарушения закона, не устранимые в судебном производстве, если возвращение дела не связано с восполнением неполноты проведенного дознания или предварительного следствия (Постановление Конституционного Суда Российской Федерации от 8 декабря 2003 года № 18- П). При этом статья 237 УПК Российской Федерации не определяет обстоятельства, исключающие участие в уголовном судопроизводстве, которые регламентированы в главе 9 этого Кодекса. Принятие же судом решения о направлении уголовного дела прокурору не препятствует вынесению законного, обоснованного и справедливого приговора; соответствующее постановление лишь указывает на необходимость устранения препятствий для рассмотрения уголовного дела судом, а потому не может свидетельствовать о прямой или косвенной заинтересованности судьи в исходе дела и расцениваться как безусловное препятствие для участия судьи в его рассмотрении (Определение Конституционного Суда Российской Федерации от 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Сахабутдинова Рустама Расуловича,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