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128749-П/2013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Асадуллиной Гульнары Ханифовны на нарушение ее конституционных прав применением положений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гражданки Г.Х.Асадуллиной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конкретных норм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с принятым по ее делу судебным постановлением, с которым она выражает несогласие. Между тем проверка законности и обоснованности судебных постановлений, правильности применения законов при разрешении конкретных дел, включая оценку того, какая именно норма закона подлежала применению,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Асадуллиной Гульнары Ханифовны, поскольку она не отвечает требованиям Федерального конституционного закона «О Конституционном Суде Российской Федерации», в соответствии с 3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