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Попкова Василия Владимировича на нарушение его конституционных прав пунктом 1 статьи 311 и частью 1 статьи 312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В.В.Попкова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было прекращено в связи с неподведомственностью производство по делу по иску юридического лица к гражданину В.В.Попкову о взыскании неосновательно полученных дивидендов. Впоследствии данное определение было отменено по вновь открывшимся обстоятельствам ввиду несоответствия оценки судом характера спора толкованию норм права, сформулированному в принятом позднее постановлении Президиума Высшего Арбитражного Суда Российской Федерации по аналогичному делу.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законоположения Постановлением Конституционного Суда Российской Федерации от 21 января 2010 года № 1- П были признаны не противоречащими Конституции Российской Федерации с учетом их конституционно-правового смысла, выявленного Конституционным Судом Российской Федерации. 3 Указанное Постановление сохраняет свою силу. Проверка же законности и обоснованности вынесенных по делу с участием заявителя судебных актов, равно как и разрешение вопроса о том, подлежали ли учету при рассмотрении данного дела правовые позиции, изложенные в Постановлении Конституционного Суда Российской Федерации от 21 января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Попкова Василия Владимировича,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