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78557-П/2011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Ирины Александровны на нарушение ее конституционных прав частью первой статьи 42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И.А.Ивановой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усматривается из жалобы, нарушение своих прав заявительница связывает с тем, что оспариваемые законоположения не предусматривают право суда, рассматривающего жалобу в порядке статьи 125 УПК Российской Федерации, вынести постановление о признании лица, пострадавшего от преступления, потерпевшим вне возбужденного уголовного дела, и тем самым фактически предлагает внести в эти нормы целесообразные, с ее точки зрения, дополнения. Между тем разрешение подобного вопроса не относится к полномочиям Конституционного Суда Российской Федерации. Следовательно, жалоба заявительницы, как не отвечающая критерию допустимости, закрепленному в Федеральном конституционном законе «О 3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Ирины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