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16461-П/2007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«Петербургстрой» на нарушение конституционных прав и свобод пунктами 1 и 7 статьи 71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Б.С.Эбзеева, рассмотрев по требованию ООО «Петербургстрой»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города Санкт-Петербурга и Ленинградской области от 19 июня 2006 года ООО «Петербургстрой» отказано во включении в реестр требований кредиторов ФГУП ОПХ «Память Ильича» и указано, что требования кредиторов, предъявленные по истечении срока для предъявления требований в процедуре наблюдения, подлежат рассмотрению арбитражным судом после введения процедуры, следующей за процедурой наблюдения. Тринадцатый арбитражный апелляционный суд, руководствуясь положениями пунктов 1 и 7 статьи 71 Федерального закона 2 «О несостоятельности (банкротстве)», постановлением от 15 декабря 2006 года отменил данное определение в части отказа ООО «Петербургстрой» во включении в реестр требований кредиторов ФГУП ОПХ «Память Ильича».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«Петербургстрой» материалы, не находит оснований для принятия данной жалобы к рассмотрению. Закрепление в законе конкретного срока, в рамках которого для целей участия в первом собрании кредиторов последние вправе предъявить свои требования к должнику, связано с необходимостью своевременного завершения процедуры наблюдения и принятия решения о введении последующих процедур банкротства, а также определения имущественных 3 прав кредиторов, поэтому сами по себе оспариваемые нормы не могут рассматриваться как нарушающие конституционные права и свободы заявителя, перечисленные в жалобе. Пропуск указанного срока не является основанием для отказа во включении требований кредитора в реестр требований кредиторов: как свидетельствуют материалы, приложенные к жалобе, такие требования были рассмотрены и удовлетворены арбитражным судом. Следует учитывать и то, что опубликование в прессе сообщения о введении процедуры наблюдения и выявление максимально возможного круга кредиторов с целью их уведомления о вынесении арбитражным судом определения о введении наблюдения является обязанностью временного управляющего, исполнение которой также может являться предметом рассмотрения суда. Что касается содержащихся в жалобе заявителя доводов о возможных злоупотреблениях со стороны временного управляющего в отношении извещения кредиторов о введении процедуры наблюдения, равно как и об обстоятельствах, препятствовавших ознакомлению с опубликованной информацией о введении данной процедуры в отношении должника, то установление и оценка данных фактических обстоятельств не относится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«Петербургстрой», поскольку она не 4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