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17431-П/2008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Барбаша Алексея Васильевича на нарушение его конституционных прав Федеральным законом «О мировых судьях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гражданина А.В.Барбаша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В соответствии со статьями 96 и 97 Федерального конституционного закона «О Конституционном Суде Российской Федерации» жалоба гражданина на нарушение законом его конституционных прав и свобод признается допустимой, если закон затрагивает конституционные права и свободы граждан и если он применен или подлежит применению в 3 конкретном деле, рассмотрение которого завершено или начато в суде или ином органе, применяющем закон. Между тем представленные А.В.Барбашем документы не подтверждают, что какие-либо положения Федерального закона «О мировых судьях в Российской Федерации» были применены или подлежали применению в его конкретных делах. Это является основанием для отказа в принятии данной жалобы к рассмотрению. Утверждая, что учреждение института мировых судей не основано на Конституции Российской Федерации, заявитель фактически выражает несогласие с решениями мировых судей, принятыми по его делу. Однако проверка законности и обоснованности судебных решений (в том числе постановленных мировыми судьями, являющимися судьями общей юрисдикции субъектов Российской Федерации) к компетенции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Барбаша Алексея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