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91780-П/2012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Мымрина Андрея Павловича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А.П.Мымрина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изданием нового уголовного закона гражданин А.П.Мымрин, осужденный за совершение преступлений, обратился в суд с ходатайством о приведении приговора в соответствие с этим законом. Постановлением суда от 11 мая 2010 года приговор был изменен в части квалификации совершенных А.П.Мымриным деяний, однако назначенное ему наказание оставлено прежним. С решением суда первой инстанции согласились суды кассационной и надзорных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второй статьи 10 УК Российской Федерации о сокращении наказания в пределах, предусмотренных новым уголовным законом, в системной связи с частью первой той же статьи означает, что при приведении приговора в соответствие с новым уголовным законом подлежат применению все установленные Уголовным кодексом Российской Федерации в редакции этого закона правила, как общие, так и специальные, по которым вопрос о наказании разрешается при постановлении приговора. Тем самым в уголовно-правовых отношениях обеспечивается реализация принципов справедливости (преамбула Конституции Российской Федерации, статья 6 УК Российской Федерации) и равенства всех перед законом и судом (статья 19 Конституции Российской Федерации, статья 4 УК Российской Федерации)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Мымрина Андрея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