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104675-П/2012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Зыкова Михаила Владимировича на нарушение его конституционных прав статьей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М.В.Зыкова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М.В.Зыковым материалы, не находит оснований для принятия его жалобы к рассмотрению. Само по себе установление законодателем административной ответственности за невыполнение водителем требования о прохождении медицинского освидетельствования на состояние опьянения, будучи направленным на обеспечение безопасности дорожного движения, предупреждение правонарушений в области дорожного движения и охрану прав и свобод всех участников дорожного движения, не может рассматриваться как нарушение прав граждан (Определение Конституционного Суда Российской Федерации от 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Зыкова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