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17956-П/2008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Харсеевой Татьяны Васильевны на нарушение ее конституционных прав статьями 381 и 382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Т.В.Харсеевой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Т.В.Харсеева неоднократно обращалась в суды надзорной инстанции с надзорными жалобами на принятые по гражданскому делу с ее участием судебные постановления. Определениями судей этих судов, в том числе Верховного Суда Российской Федерации, в истребовании дела ей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Т.В.Харсеевой материалы, не находит оснований для принятия ее жалобы к рассмотрению. Этими материалами не подтверждается применение в деле заявительницы статьи 382 ГПК Российской Федерации. Следовательно, ее жалоба в данной части не отвечает критерию допустимости обращений, закрепленному статьями 96 и 97 Федерального конституционного закона «О Конституционном Суде Российской Федерации».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Харсеевой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