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103190-П/2012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Солодковой Галины Николаевны на нарушение ее конституционных прав положением пункта 1 части 17 статьи 51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Г.Н.Солодковой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в пункте 1 части 17 статьи 51 Градостроительного кодекса Российской Федерации – в исключение из общего правила – упрощенного порядка строительства определенной категории объектов капитального строительства само по себе не может расцениваться как нарушение конституционных прав заявительницы в указанном ею аспекте. Доводы, приведенные Г.Н.Солодковой в обоснование своей позиции, свидетельствуют о том, что нарушение своих конституционных прав она связывает не с содержанием пункта 1 части 17 статьи 51 Градостроительного кодекса Российской Федерации, а с принятым по ее делу судебным постановлением, с которым она выражает несогласие. Между тем проверка законности и обоснованности судебных постановлений, в том числе с точки зрения правильности применения судом правовых норм с учетом фактических обстоятельств конкретного дела,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Солодковой Галины Николаевны,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