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196311-П/2015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Стягова Виктора Евгеньевича на нарушение его конституционных прав статьями 38911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В.Е.Стягова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38911 УПК Российской Федерации прямо устанавливает, что при назначении и подготовке заседания суда апелляционной инстанции вопрос об избрании подсудимому или осужденному меры пресечения в виде залога,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осужденного, его защитника, если он участвует в уголовном деле, законного представителя несовершеннолетнего подсудимого или осужденного, государственного обвинителя и (или) прокурора в порядке, установленном статьей 108 этого Кодекса (часть четвертая). В соответствии же с положениями статьи 38928 УПК Российской Федерации в апелляционных определении, постановлении кроме прочего указывается решение о мере пресечения (пункт 9 части третьей). Как следует из жалобы, нарушение своих прав В.Е.Стягов связывает с тем, что положения указанных норм, с его слов, не были применены судом в его деле. Тем самым заявитель фактически предлагает Конституционному Суду Российской Федерации дать оценку не самим оспариваемым законоположениям, а законности и обоснованности вынесенных по его делу конкретных судебных решений, что, однако, к компетенции Конституционного Суда Российской Федерации, определенной в статье 125 Конституции Российской Федерации и статье 3 Федерального 3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Стягова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