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175407-П/2014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Исаевой Татьяны Владимировны на нарушение ее конституционных прав статьями 210 и 249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Т.В.Исаевой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требования гражданки Т.В.Исаевой к иным участникам долевой собственности на нежилое помещение о взыскании с них неосновательного обогащения, а также встречные требования последних к заявительнице о возмещении расходов на содержание объекта недвижимости были удовлетворены частично. Данное решение было изменено постановлением суда апелляционной инстанции, которым размер присужденных к взысканию в пользу Т.В.Исаевой средств был снижен. Определением судьи Верховного Суда Российской Федерации 2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210 ГК Российской Федерации, устанавливающая, что собственник несет бремя содержания принадлежащего ему имущества, если иное не предусмотрено законом или договором, а также статья 249 указанного Кодекса, закрепляющая обязанность участника долевой собственности соразмерно со своей долей участвовать в том числе в издержках по содержанию и сохранению общего имущества, направлены на обеспечение его сохранности, отвечают интересам собственников данного имущества и не препятствуют достижению соглашения между ними о порядке пользования общим имуществом. Таким образом, сами по себе оспариваемые Т.В.Исаевой нормы не могут расцениваться как нарушающие ее конституционные права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Исаевой Татьяны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